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82" w:rsidRPr="000348DD" w:rsidRDefault="00666682">
      <w:pPr>
        <w:spacing w:after="0"/>
        <w:ind w:left="-1440" w:right="7757"/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9922" w:type="dxa"/>
        <w:tblInd w:w="-247" w:type="dxa"/>
        <w:tblCellMar>
          <w:top w:w="2" w:type="dxa"/>
          <w:left w:w="31" w:type="dxa"/>
          <w:right w:w="40" w:type="dxa"/>
        </w:tblCellMar>
        <w:tblLook w:val="04A0" w:firstRow="1" w:lastRow="0" w:firstColumn="1" w:lastColumn="0" w:noHBand="0" w:noVBand="1"/>
      </w:tblPr>
      <w:tblGrid>
        <w:gridCol w:w="27"/>
        <w:gridCol w:w="1858"/>
        <w:gridCol w:w="1385"/>
        <w:gridCol w:w="14"/>
        <w:gridCol w:w="3344"/>
        <w:gridCol w:w="14"/>
        <w:gridCol w:w="1620"/>
        <w:gridCol w:w="1647"/>
        <w:gridCol w:w="13"/>
      </w:tblGrid>
      <w:tr w:rsidR="00666682" w:rsidRPr="000348DD" w:rsidTr="009F3FDA">
        <w:trPr>
          <w:gridBefore w:val="1"/>
          <w:wBefore w:w="27" w:type="dxa"/>
          <w:trHeight w:val="192"/>
        </w:trPr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:rsidR="00666682" w:rsidRPr="000348DD" w:rsidRDefault="003C3E10">
            <w:pPr>
              <w:ind w:left="326"/>
              <w:rPr>
                <w:sz w:val="18"/>
                <w:szCs w:val="18"/>
              </w:rPr>
            </w:pPr>
            <w:r w:rsidRPr="000348DD">
              <w:rPr>
                <w:noProof/>
                <w:sz w:val="18"/>
                <w:szCs w:val="18"/>
              </w:rPr>
              <w:drawing>
                <wp:inline distT="0" distB="0" distL="0" distR="0">
                  <wp:extent cx="945265" cy="799109"/>
                  <wp:effectExtent l="0" t="0" r="0" b="0"/>
                  <wp:docPr id="374" name="Picture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265" cy="799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doub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ind w:left="84"/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TANIM VE SORUMLULUK FORMU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Doküman No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</w:tr>
      <w:tr w:rsidR="00666682" w:rsidRPr="000348DD" w:rsidTr="00F4756A">
        <w:trPr>
          <w:gridBefore w:val="1"/>
          <w:wBefore w:w="27" w:type="dxa"/>
          <w:trHeight w:val="185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Yayın Tarihi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</w:tr>
      <w:tr w:rsidR="00666682" w:rsidRPr="000348DD" w:rsidTr="00F4756A">
        <w:trPr>
          <w:gridBefore w:val="1"/>
          <w:wBefore w:w="27" w:type="dxa"/>
          <w:trHeight w:val="185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Revizyon Tarihi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ind w:left="84"/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_</w:t>
            </w:r>
          </w:p>
        </w:tc>
      </w:tr>
      <w:tr w:rsidR="00666682" w:rsidRPr="000348DD" w:rsidTr="00F4756A">
        <w:trPr>
          <w:gridBefore w:val="1"/>
          <w:wBefore w:w="27" w:type="dxa"/>
          <w:trHeight w:val="826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single" w:sz="4" w:space="0" w:color="FFFFFF"/>
              <w:right w:val="doub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single" w:sz="4" w:space="0" w:color="FFFFFF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Revizyon No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ind w:left="84"/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_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Statüsü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657 Sayılı DMK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Adı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Memur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Birimi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Engelli Öğrenciler Danışma Ve Koordinasyon Birimi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 Birimi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İlk Amiri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F2689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 xml:space="preserve">Koordinatör </w:t>
            </w:r>
            <w:r w:rsidR="00F4756A" w:rsidRPr="000348DD">
              <w:rPr>
                <w:sz w:val="18"/>
                <w:szCs w:val="18"/>
              </w:rPr>
              <w:t>Yardımcısı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Devri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GÖREVİN KISA TANIMI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 w:rsidP="00F77FC5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 xml:space="preserve">Üniversitemizin eğitim ve </w:t>
            </w:r>
            <w:proofErr w:type="spellStart"/>
            <w:r w:rsidRPr="000348DD">
              <w:rPr>
                <w:sz w:val="18"/>
                <w:szCs w:val="18"/>
              </w:rPr>
              <w:t>sosyo</w:t>
            </w:r>
            <w:proofErr w:type="spellEnd"/>
            <w:r w:rsidRPr="000348DD">
              <w:rPr>
                <w:sz w:val="18"/>
                <w:szCs w:val="18"/>
              </w:rPr>
              <w:t xml:space="preserve"> kültürel faaliyetlere erişilebili</w:t>
            </w:r>
            <w:r w:rsidR="000C2206" w:rsidRPr="000348DD">
              <w:rPr>
                <w:sz w:val="18"/>
                <w:szCs w:val="18"/>
              </w:rPr>
              <w:t>rlik</w:t>
            </w:r>
            <w:r w:rsidR="00FB0D28" w:rsidRPr="000348DD">
              <w:rPr>
                <w:sz w:val="18"/>
                <w:szCs w:val="18"/>
              </w:rPr>
              <w:t>, danışmanlık</w:t>
            </w:r>
            <w:r w:rsidR="000C2206" w:rsidRPr="000348DD">
              <w:rPr>
                <w:sz w:val="18"/>
                <w:szCs w:val="18"/>
              </w:rPr>
              <w:t xml:space="preserve"> faaliyetlerinin sürdürülmesi</w:t>
            </w:r>
            <w:r w:rsidRPr="000348DD">
              <w:rPr>
                <w:sz w:val="18"/>
                <w:szCs w:val="18"/>
              </w:rPr>
              <w:t>,</w:t>
            </w:r>
            <w:r w:rsidR="001468D3" w:rsidRPr="000348DD">
              <w:rPr>
                <w:sz w:val="18"/>
                <w:szCs w:val="18"/>
              </w:rPr>
              <w:t xml:space="preserve"> erişilebilirlik hizmetlerinin geliştirilmesi,</w:t>
            </w:r>
            <w:r w:rsidRPr="000348DD">
              <w:rPr>
                <w:sz w:val="18"/>
                <w:szCs w:val="18"/>
              </w:rPr>
              <w:t xml:space="preserve"> akademik uyarlama çalışmalarının yapılması, </w:t>
            </w:r>
            <w:r w:rsidR="000C2206" w:rsidRPr="000348DD">
              <w:rPr>
                <w:sz w:val="18"/>
                <w:szCs w:val="18"/>
              </w:rPr>
              <w:t xml:space="preserve">hizmet içi </w:t>
            </w:r>
            <w:r w:rsidRPr="000348DD">
              <w:rPr>
                <w:sz w:val="18"/>
                <w:szCs w:val="18"/>
              </w:rPr>
              <w:t>eğitim</w:t>
            </w:r>
            <w:r w:rsidR="000C2206" w:rsidRPr="000348DD">
              <w:rPr>
                <w:sz w:val="18"/>
                <w:szCs w:val="18"/>
              </w:rPr>
              <w:t xml:space="preserve"> düzenlenmesi</w:t>
            </w:r>
            <w:r w:rsidRPr="000348DD">
              <w:rPr>
                <w:sz w:val="18"/>
                <w:szCs w:val="18"/>
              </w:rPr>
              <w:t xml:space="preserve">, birimin </w:t>
            </w:r>
            <w:proofErr w:type="spellStart"/>
            <w:r w:rsidR="00F77FC5" w:rsidRPr="000348DD">
              <w:rPr>
                <w:sz w:val="18"/>
                <w:szCs w:val="18"/>
              </w:rPr>
              <w:t>sekreterya</w:t>
            </w:r>
            <w:proofErr w:type="spellEnd"/>
            <w:r w:rsidR="00F77FC5" w:rsidRPr="000348DD">
              <w:rPr>
                <w:sz w:val="18"/>
                <w:szCs w:val="18"/>
              </w:rPr>
              <w:t xml:space="preserve"> işlerinin yürütülmesi</w:t>
            </w:r>
            <w:r w:rsidRPr="000348DD">
              <w:rPr>
                <w:sz w:val="18"/>
                <w:szCs w:val="18"/>
              </w:rPr>
              <w:t>, web sayfası güncelleme işlemlerinin yerine getirilmesidir.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GÖREVİN AMACI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F4756A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Üniversitemiz engelli öğrencilerine yönelik</w:t>
            </w:r>
            <w:r w:rsidR="00164494" w:rsidRPr="000348DD">
              <w:rPr>
                <w:sz w:val="18"/>
                <w:szCs w:val="18"/>
              </w:rPr>
              <w:t xml:space="preserve"> hizmetlerinin</w:t>
            </w:r>
            <w:r w:rsidRPr="000348DD">
              <w:rPr>
                <w:sz w:val="18"/>
                <w:szCs w:val="18"/>
              </w:rPr>
              <w:t xml:space="preserve"> mevzuata uygun, zamanında, doğru bir şekilde ve herhangi bir kesintiye uğramaksızın yürütülmesini sağlamak</w:t>
            </w:r>
            <w:r w:rsidR="000C2206" w:rsidRPr="000348DD">
              <w:rPr>
                <w:sz w:val="18"/>
                <w:szCs w:val="18"/>
              </w:rPr>
              <w:t>.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GÖREV VE SORUMLULUKLARI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D3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 xml:space="preserve">-Eğitim öğretim yılı başında engelli öğrencilere </w:t>
            </w:r>
            <w:proofErr w:type="gramStart"/>
            <w:r w:rsidRPr="000348DD">
              <w:rPr>
                <w:sz w:val="18"/>
                <w:szCs w:val="18"/>
              </w:rPr>
              <w:t>oryantasyon</w:t>
            </w:r>
            <w:proofErr w:type="gramEnd"/>
            <w:r w:rsidRPr="000348DD">
              <w:rPr>
                <w:sz w:val="18"/>
                <w:szCs w:val="18"/>
              </w:rPr>
              <w:t xml:space="preserve"> eğitimi vermek,</w:t>
            </w:r>
          </w:p>
          <w:p w:rsidR="008F132C" w:rsidRPr="000348DD" w:rsidRDefault="008F132C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-Engelli öğrenci dosyası açmak, dosyaları güncellemek, takip etmek,</w:t>
            </w:r>
          </w:p>
          <w:p w:rsidR="007127A7" w:rsidRPr="000348DD" w:rsidRDefault="007127A7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 xml:space="preserve">-Üniversitemiz ile ilişiği kesilen </w:t>
            </w:r>
            <w:r w:rsidR="00F77FC5" w:rsidRPr="000348DD">
              <w:rPr>
                <w:sz w:val="18"/>
                <w:szCs w:val="18"/>
              </w:rPr>
              <w:t xml:space="preserve">engelli </w:t>
            </w:r>
            <w:r w:rsidRPr="000348DD">
              <w:rPr>
                <w:sz w:val="18"/>
                <w:szCs w:val="18"/>
              </w:rPr>
              <w:t>öğrencilerin dosyalarını imha etmek,</w:t>
            </w:r>
          </w:p>
          <w:p w:rsidR="00164494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-Engelli ö</w:t>
            </w:r>
            <w:r w:rsidR="00164494" w:rsidRPr="000348DD">
              <w:rPr>
                <w:sz w:val="18"/>
                <w:szCs w:val="18"/>
              </w:rPr>
              <w:t>ğrencilerin akademik uyarlama taleplerini almak</w:t>
            </w:r>
            <w:r w:rsidRPr="000348DD">
              <w:rPr>
                <w:sz w:val="18"/>
                <w:szCs w:val="18"/>
              </w:rPr>
              <w:t>,</w:t>
            </w:r>
          </w:p>
          <w:p w:rsidR="00164494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-Engelli ö</w:t>
            </w:r>
            <w:r w:rsidR="00164494" w:rsidRPr="000348DD">
              <w:rPr>
                <w:sz w:val="18"/>
                <w:szCs w:val="18"/>
              </w:rPr>
              <w:t>ğrencilerin akademik uyarlama mektuplarını hazırlamak</w:t>
            </w:r>
            <w:r w:rsidRPr="000348DD">
              <w:rPr>
                <w:sz w:val="18"/>
                <w:szCs w:val="18"/>
              </w:rPr>
              <w:t>,</w:t>
            </w:r>
          </w:p>
          <w:p w:rsidR="00164494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 xml:space="preserve">Engelli öğrencilerin </w:t>
            </w:r>
            <w:r w:rsidR="000C2206" w:rsidRPr="000348DD">
              <w:rPr>
                <w:sz w:val="18"/>
                <w:szCs w:val="18"/>
              </w:rPr>
              <w:t xml:space="preserve">ve engelli personellerin </w:t>
            </w:r>
            <w:r w:rsidR="00164494" w:rsidRPr="000348DD">
              <w:rPr>
                <w:sz w:val="18"/>
                <w:szCs w:val="18"/>
              </w:rPr>
              <w:t>talep ve şikâyetlerini almak</w:t>
            </w:r>
            <w:r w:rsidRPr="000348DD">
              <w:rPr>
                <w:sz w:val="18"/>
                <w:szCs w:val="18"/>
              </w:rPr>
              <w:t>,</w:t>
            </w:r>
          </w:p>
          <w:p w:rsidR="00164494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 xml:space="preserve">Engelli öğrencilerin </w:t>
            </w:r>
            <w:r w:rsidR="000C2206" w:rsidRPr="000348DD">
              <w:rPr>
                <w:sz w:val="18"/>
                <w:szCs w:val="18"/>
              </w:rPr>
              <w:t xml:space="preserve">ve engelli personellerin </w:t>
            </w:r>
            <w:r w:rsidR="00164494" w:rsidRPr="000348DD">
              <w:rPr>
                <w:sz w:val="18"/>
                <w:szCs w:val="18"/>
              </w:rPr>
              <w:t xml:space="preserve">talep ve </w:t>
            </w:r>
            <w:r w:rsidRPr="000348DD">
              <w:rPr>
                <w:sz w:val="18"/>
                <w:szCs w:val="18"/>
              </w:rPr>
              <w:t>şikâyetlerini</w:t>
            </w:r>
            <w:r w:rsidR="00164494" w:rsidRPr="000348DD">
              <w:rPr>
                <w:sz w:val="18"/>
                <w:szCs w:val="18"/>
              </w:rPr>
              <w:t xml:space="preserve"> ilgili birimlere, görevlilere iletmek</w:t>
            </w:r>
            <w:r w:rsidRPr="000348DD">
              <w:rPr>
                <w:sz w:val="18"/>
                <w:szCs w:val="18"/>
              </w:rPr>
              <w:t>,</w:t>
            </w:r>
          </w:p>
          <w:p w:rsidR="0054662B" w:rsidRPr="000348DD" w:rsidRDefault="0054662B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-Engelli öğrencilere ve akademik personele danışmanlık vermek,</w:t>
            </w:r>
          </w:p>
          <w:p w:rsidR="0054662B" w:rsidRPr="000348DD" w:rsidRDefault="0000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4662B" w:rsidRPr="000348DD">
              <w:rPr>
                <w:sz w:val="18"/>
                <w:szCs w:val="18"/>
              </w:rPr>
              <w:t>Engelli öğrencilerin sorunlarının çözümü için destek sağlamak,</w:t>
            </w:r>
          </w:p>
          <w:p w:rsidR="008F132C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 xml:space="preserve">-Engelli öğrencilerin, akademik personellerin talep ve ihtiyaçları doğrultusunda eğitim, söyleşi ve </w:t>
            </w:r>
            <w:proofErr w:type="gramStart"/>
            <w:r w:rsidRPr="000348DD">
              <w:rPr>
                <w:sz w:val="18"/>
                <w:szCs w:val="18"/>
              </w:rPr>
              <w:t>sempozyum</w:t>
            </w:r>
            <w:proofErr w:type="gramEnd"/>
            <w:r w:rsidRPr="000348DD">
              <w:rPr>
                <w:sz w:val="18"/>
                <w:szCs w:val="18"/>
              </w:rPr>
              <w:t xml:space="preserve"> düzenlemek,</w:t>
            </w:r>
          </w:p>
          <w:p w:rsidR="001468D3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-Birimin web sayfasını ve sosyal medya hesaplarını güncel tutmak,</w:t>
            </w:r>
          </w:p>
          <w:p w:rsidR="00745F9A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-Birimin mail adresini kontrol etmek ve kullanmak,</w:t>
            </w:r>
          </w:p>
          <w:p w:rsidR="001468D3" w:rsidRPr="000348DD" w:rsidRDefault="001468D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54662B" w:rsidRPr="000348DD">
              <w:rPr>
                <w:sz w:val="18"/>
                <w:szCs w:val="18"/>
              </w:rPr>
              <w:t>Üniversitemizin</w:t>
            </w:r>
            <w:r w:rsidR="008F132C" w:rsidRPr="000348DD">
              <w:rPr>
                <w:sz w:val="18"/>
                <w:szCs w:val="18"/>
              </w:rPr>
              <w:t xml:space="preserve"> </w:t>
            </w:r>
            <w:proofErr w:type="spellStart"/>
            <w:r w:rsidR="008F132C" w:rsidRPr="000348DD">
              <w:rPr>
                <w:sz w:val="18"/>
                <w:szCs w:val="18"/>
              </w:rPr>
              <w:t>sosyo</w:t>
            </w:r>
            <w:proofErr w:type="spellEnd"/>
            <w:r w:rsidR="008F132C" w:rsidRPr="000348DD">
              <w:rPr>
                <w:sz w:val="18"/>
                <w:szCs w:val="18"/>
              </w:rPr>
              <w:t xml:space="preserve"> kültürel ve eğitimde erişilebilirlik</w:t>
            </w:r>
            <w:r w:rsidR="00F77FC5" w:rsidRPr="000348DD">
              <w:rPr>
                <w:sz w:val="18"/>
                <w:szCs w:val="18"/>
              </w:rPr>
              <w:t xml:space="preserve"> faaliyetlerinin geliştirilmesi sağlamak,</w:t>
            </w:r>
          </w:p>
          <w:p w:rsidR="00494AE3" w:rsidRPr="000348DD" w:rsidRDefault="00494AE3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-Mevzuatta engelli öğrenciler için yapılan güncellemeleri takip etmek, kurum mevzuatının bu doğrultuda güncellenmesini sağlamak,</w:t>
            </w:r>
          </w:p>
          <w:p w:rsidR="00F77FC5" w:rsidRPr="000348DD" w:rsidRDefault="000C2206" w:rsidP="00F77FC5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-Üniversite öğrencilerine ve personellerine yönelik engellilik çalışmaları odaklı anketler düzenlemek,</w:t>
            </w:r>
          </w:p>
          <w:p w:rsidR="00F77FC5" w:rsidRPr="000348DD" w:rsidRDefault="00F77FC5" w:rsidP="00F77FC5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-B</w:t>
            </w:r>
            <w:r w:rsidR="00FB0D28" w:rsidRPr="000348DD">
              <w:rPr>
                <w:sz w:val="18"/>
                <w:szCs w:val="18"/>
              </w:rPr>
              <w:t>irimin çalışmalarından enge</w:t>
            </w:r>
            <w:r w:rsidRPr="000348DD">
              <w:rPr>
                <w:sz w:val="18"/>
                <w:szCs w:val="18"/>
              </w:rPr>
              <w:t>lli öğrencileri haberdar etmek,</w:t>
            </w:r>
          </w:p>
          <w:p w:rsidR="0054662B" w:rsidRPr="000348DD" w:rsidRDefault="0054662B" w:rsidP="00F77FC5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-Birim toplantılarını koordine etmek,</w:t>
            </w:r>
          </w:p>
          <w:p w:rsidR="0054662B" w:rsidRPr="000348DD" w:rsidRDefault="0054662B" w:rsidP="00F77FC5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-Birim toplantılarının tutanaklarını hazırlamak,</w:t>
            </w:r>
          </w:p>
          <w:p w:rsidR="0054662B" w:rsidRPr="000348DD" w:rsidRDefault="0054662B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FB0D28" w:rsidRPr="000348DD">
              <w:rPr>
                <w:sz w:val="18"/>
                <w:szCs w:val="18"/>
              </w:rPr>
              <w:t xml:space="preserve">Biriminin sekretarya </w:t>
            </w:r>
            <w:r w:rsidRPr="000348DD">
              <w:rPr>
                <w:sz w:val="18"/>
                <w:szCs w:val="18"/>
              </w:rPr>
              <w:t>iş ve işlemlerini yürütmek,</w:t>
            </w:r>
          </w:p>
          <w:p w:rsidR="00FB0D28" w:rsidRPr="000348DD" w:rsidRDefault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-Birimin resmi yazışmalarını yapmak, takip etmek,</w:t>
            </w:r>
          </w:p>
          <w:p w:rsidR="00666682" w:rsidRPr="000348DD" w:rsidRDefault="000C2206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>Birim Koordinatörü ve Koordinatör Yardımcısı tarafından verilecek diğer görevleri yapmak.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YETKİLERİ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0348DD" w:rsidRDefault="0054662B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468D3" w:rsidRPr="000348DD">
              <w:rPr>
                <w:sz w:val="18"/>
                <w:szCs w:val="18"/>
              </w:rPr>
              <w:t>Birim</w:t>
            </w:r>
            <w:r w:rsidR="00A83BD2" w:rsidRPr="000348DD">
              <w:rPr>
                <w:sz w:val="18"/>
                <w:szCs w:val="18"/>
              </w:rPr>
              <w:t xml:space="preserve"> ile ilgili evraklara imza-</w:t>
            </w:r>
            <w:r w:rsidR="00164494" w:rsidRPr="000348DD">
              <w:rPr>
                <w:sz w:val="18"/>
                <w:szCs w:val="18"/>
              </w:rPr>
              <w:t>paraf atmak</w:t>
            </w:r>
            <w:r w:rsidR="001468D3" w:rsidRPr="000348DD">
              <w:rPr>
                <w:sz w:val="18"/>
                <w:szCs w:val="18"/>
              </w:rPr>
              <w:t>,</w:t>
            </w:r>
          </w:p>
          <w:p w:rsidR="00666682" w:rsidRPr="000348DD" w:rsidRDefault="0054662B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7127A7" w:rsidRPr="000348DD">
              <w:rPr>
                <w:sz w:val="18"/>
                <w:szCs w:val="18"/>
              </w:rPr>
              <w:t>Birimle ilgili</w:t>
            </w:r>
            <w:r w:rsidR="00164494" w:rsidRPr="000348DD">
              <w:rPr>
                <w:sz w:val="18"/>
                <w:szCs w:val="18"/>
              </w:rPr>
              <w:t xml:space="preserve"> verileri görme, yazma ve onama yetkisi</w:t>
            </w:r>
            <w:r w:rsidR="00A83BD2" w:rsidRPr="000348DD">
              <w:rPr>
                <w:sz w:val="18"/>
                <w:szCs w:val="18"/>
              </w:rPr>
              <w:t>,</w:t>
            </w:r>
          </w:p>
          <w:p w:rsidR="007127A7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-Birime kaydı olan öğrencilerin evraklarını dosyalama,</w:t>
            </w:r>
            <w:r w:rsidR="0054662B" w:rsidRPr="000348DD">
              <w:rPr>
                <w:sz w:val="18"/>
                <w:szCs w:val="18"/>
              </w:rPr>
              <w:t xml:space="preserve"> gizliliğini koruma,</w:t>
            </w:r>
          </w:p>
          <w:p w:rsidR="00A83BD2" w:rsidRPr="000348DD" w:rsidRDefault="0054662B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-Birimin web sayfasını, sosyal medya hesabını ve e mailini kullanma yetkisi,</w:t>
            </w:r>
          </w:p>
        </w:tc>
      </w:tr>
      <w:tr w:rsidR="00666682" w:rsidRPr="000348DD" w:rsidTr="00F4756A">
        <w:trPr>
          <w:gridAfter w:val="1"/>
          <w:wAfter w:w="9" w:type="dxa"/>
          <w:trHeight w:val="249"/>
        </w:trPr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ind w:left="24"/>
              <w:jc w:val="center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İŞ</w:t>
            </w:r>
          </w:p>
          <w:p w:rsidR="00666682" w:rsidRPr="000348DD" w:rsidRDefault="003C3E10">
            <w:pPr>
              <w:ind w:left="24"/>
              <w:jc w:val="both"/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GEREKLİLİKLERİ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Gerekli mevzuat konusunda ileri düzey bilgi sahibi olmak</w:t>
            </w:r>
            <w:r w:rsidR="007127A7" w:rsidRPr="000348DD">
              <w:rPr>
                <w:sz w:val="18"/>
                <w:szCs w:val="18"/>
              </w:rPr>
              <w:t>;</w:t>
            </w:r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494AE3" w:rsidRPr="000348DD">
              <w:rPr>
                <w:sz w:val="18"/>
                <w:szCs w:val="18"/>
              </w:rPr>
              <w:t>5378 Sayılı Engelli Hakları Kanunu</w:t>
            </w:r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494AE3" w:rsidRPr="000348DD">
              <w:rPr>
                <w:sz w:val="18"/>
                <w:szCs w:val="18"/>
              </w:rPr>
              <w:t>Birleşmiş Milletler Engelli Hakları Sözleşmesi</w:t>
            </w:r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hyperlink r:id="rId6" w:history="1">
              <w:r w:rsidR="00494AE3" w:rsidRPr="000348DD">
                <w:rPr>
                  <w:sz w:val="18"/>
                  <w:szCs w:val="18"/>
                </w:rPr>
                <w:t>Çocuklar İçin Özel Gereksinim Değerlendirmesi Hakkında Yönetmelik</w:t>
              </w:r>
            </w:hyperlink>
          </w:p>
          <w:p w:rsidR="007127A7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hyperlink r:id="rId7" w:history="1">
              <w:r w:rsidR="00494AE3" w:rsidRPr="000348DD">
                <w:rPr>
                  <w:sz w:val="18"/>
                  <w:szCs w:val="18"/>
                </w:rPr>
                <w:t>Erişilebilirlik İzleme ve Denetleme Yönetmeliği</w:t>
              </w:r>
            </w:hyperlink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hyperlink r:id="rId8" w:history="1">
              <w:r w:rsidR="00494AE3" w:rsidRPr="000348DD">
                <w:rPr>
                  <w:sz w:val="18"/>
                  <w:szCs w:val="18"/>
                </w:rPr>
                <w:t>Erişkinler İçin Engellilik Değerlendirmesi Hakkında Yönetmelik</w:t>
              </w:r>
            </w:hyperlink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lastRenderedPageBreak/>
              <w:t>-</w:t>
            </w:r>
            <w:hyperlink r:id="rId9" w:history="1">
              <w:r w:rsidR="00494AE3" w:rsidRPr="000348DD">
                <w:rPr>
                  <w:sz w:val="18"/>
                  <w:szCs w:val="18"/>
                </w:rPr>
                <w:t>YÖK Engelli Bireylere Yönelik Sınav Uygulamalarında ve Engelli Kontenjanında Aranacak Sağlık Şartlarına Dair Yönetmelik</w:t>
              </w:r>
            </w:hyperlink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hyperlink r:id="rId10" w:history="1">
              <w:r w:rsidR="00494AE3" w:rsidRPr="000348DD">
                <w:rPr>
                  <w:sz w:val="18"/>
                  <w:szCs w:val="18"/>
                </w:rPr>
                <w:t>Yükseköğretim Kurumları Engelliler Danışma ve  Koordinasyon Yönetmeliği</w:t>
              </w:r>
            </w:hyperlink>
          </w:p>
          <w:p w:rsidR="00494AE3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494AE3" w:rsidRPr="000348DD">
              <w:rPr>
                <w:sz w:val="18"/>
                <w:szCs w:val="18"/>
              </w:rPr>
              <w:t>6698 Sayılı Kişisel Verilerin Korunması Kanunu</w:t>
            </w:r>
          </w:p>
          <w:p w:rsidR="00164494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>657 sayılı Kanun ve buna bağlı düzenlemeler</w:t>
            </w:r>
          </w:p>
          <w:p w:rsidR="00164494" w:rsidRPr="000348DD" w:rsidRDefault="007127A7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>Yükseköğretim Mevzuatı</w:t>
            </w:r>
          </w:p>
          <w:p w:rsidR="00666682" w:rsidRPr="000348DD" w:rsidRDefault="007127A7" w:rsidP="00164494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-</w:t>
            </w:r>
            <w:r w:rsidR="00164494" w:rsidRPr="000348DD">
              <w:rPr>
                <w:sz w:val="18"/>
                <w:szCs w:val="18"/>
              </w:rPr>
              <w:t>6085 sayılı Sayıştay Kanunu ve buna bağlı düzenlemeler</w:t>
            </w:r>
          </w:p>
        </w:tc>
      </w:tr>
      <w:tr w:rsidR="00666682" w:rsidRPr="000348DD" w:rsidTr="00F4756A">
        <w:trPr>
          <w:gridAfter w:val="1"/>
          <w:wAfter w:w="9" w:type="dxa"/>
          <w:trHeight w:val="39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666682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2" w:rsidRPr="000348DD" w:rsidRDefault="003C3E10">
            <w:pPr>
              <w:rPr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Beceri ve Yetenekler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Bilgisayar ve internet kullanımı</w:t>
            </w:r>
          </w:p>
          <w:p w:rsidR="00A83BD2" w:rsidRPr="000348DD" w:rsidRDefault="00A83BD2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Gizliliği Koruma</w:t>
            </w:r>
          </w:p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Analitik düşünebilme</w:t>
            </w:r>
          </w:p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Analiz yapabilme</w:t>
            </w:r>
          </w:p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Sabırlı olma</w:t>
            </w:r>
          </w:p>
          <w:p w:rsidR="00164494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Düzenli ve disiplinli çalışma</w:t>
            </w:r>
          </w:p>
          <w:p w:rsidR="007127A7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Ekip çalışmasına uyumlu ve katılımcı</w:t>
            </w:r>
          </w:p>
          <w:p w:rsidR="00666682" w:rsidRPr="000348DD" w:rsidRDefault="00164494" w:rsidP="0054662B">
            <w:pPr>
              <w:rPr>
                <w:sz w:val="18"/>
                <w:szCs w:val="18"/>
              </w:rPr>
            </w:pPr>
            <w:r w:rsidRPr="000348DD">
              <w:rPr>
                <w:sz w:val="18"/>
                <w:szCs w:val="18"/>
              </w:rPr>
              <w:t>Müzakere edebilme</w:t>
            </w:r>
          </w:p>
        </w:tc>
      </w:tr>
      <w:tr w:rsidR="00666682" w:rsidRPr="000348DD" w:rsidTr="00F4756A">
        <w:trPr>
          <w:gridAfter w:val="1"/>
          <w:wAfter w:w="9" w:type="dxa"/>
          <w:trHeight w:val="955"/>
        </w:trPr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82" w:rsidRPr="000348DD" w:rsidRDefault="003C3E10">
            <w:pPr>
              <w:spacing w:after="185" w:line="271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Bu dokümanda açıklanan görev tanımımı okudum. Görevimi burada belirtilen kapsamda yerine getirmeyi kabul ediyorum.</w:t>
            </w:r>
          </w:p>
          <w:p w:rsidR="00F77FC5" w:rsidRPr="000348DD" w:rsidRDefault="00F77FC5">
            <w:pPr>
              <w:spacing w:after="185" w:line="271" w:lineRule="auto"/>
              <w:rPr>
                <w:sz w:val="18"/>
                <w:szCs w:val="18"/>
              </w:rPr>
            </w:pPr>
          </w:p>
          <w:p w:rsidR="000C2206" w:rsidRPr="000348DD" w:rsidRDefault="003C3E10">
            <w:pPr>
              <w:ind w:righ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Ad-</w:t>
            </w:r>
            <w:proofErr w:type="spellStart"/>
            <w:proofErr w:type="gramStart"/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Soyad</w:t>
            </w:r>
            <w:proofErr w:type="spellEnd"/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:      </w:t>
            </w:r>
            <w:r w:rsidR="00F77FC5"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Melahat</w:t>
            </w:r>
            <w:proofErr w:type="gramEnd"/>
            <w:r w:rsidR="00F77FC5"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JAFARNEZHAD</w:t>
            </w:r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  <w:p w:rsidR="000C2206" w:rsidRPr="000348DD" w:rsidRDefault="003C3E10">
            <w:pPr>
              <w:ind w:righ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Tarih:</w:t>
            </w:r>
            <w:r w:rsidR="00F77FC5"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05./07/2024</w:t>
            </w:r>
          </w:p>
          <w:p w:rsidR="00666682" w:rsidRPr="000348DD" w:rsidRDefault="003C3E10">
            <w:pPr>
              <w:ind w:righ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348DD">
              <w:rPr>
                <w:rFonts w:ascii="Times New Roman" w:eastAsia="Times New Roman" w:hAnsi="Times New Roman" w:cs="Times New Roman"/>
                <w:sz w:val="18"/>
                <w:szCs w:val="18"/>
              </w:rPr>
              <w:t>İmza          :</w:t>
            </w:r>
            <w:proofErr w:type="gramEnd"/>
          </w:p>
          <w:p w:rsidR="00F77FC5" w:rsidRPr="000348DD" w:rsidRDefault="00F77FC5">
            <w:pPr>
              <w:ind w:right="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7FC5" w:rsidRPr="000348DD" w:rsidRDefault="00F77FC5">
            <w:pPr>
              <w:ind w:right="262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FC5" w:rsidRPr="000348DD" w:rsidRDefault="003C3E10" w:rsidP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ONAYLAYAN:</w:t>
            </w:r>
            <w:r w:rsidR="00164494"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666682" w:rsidRPr="000348DD" w:rsidRDefault="00164494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Mehmet Hakan TÜRKÇAPAR</w:t>
            </w:r>
          </w:p>
          <w:p w:rsidR="00F77FC5" w:rsidRPr="000348DD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7FC5" w:rsidRPr="000348DD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48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(Engelli Öğrenciler Danışma Ve Koordinasyon Birimi Koordinatörü)</w:t>
            </w:r>
          </w:p>
          <w:p w:rsidR="00F77FC5" w:rsidRPr="000348DD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7FC5" w:rsidRPr="000348DD" w:rsidRDefault="00F77FC5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77FC5" w:rsidRPr="000348DD" w:rsidRDefault="00F77FC5">
            <w:pPr>
              <w:ind w:left="84"/>
              <w:jc w:val="center"/>
              <w:rPr>
                <w:sz w:val="18"/>
                <w:szCs w:val="18"/>
              </w:rPr>
            </w:pPr>
          </w:p>
        </w:tc>
      </w:tr>
    </w:tbl>
    <w:p w:rsidR="003C3E10" w:rsidRPr="000348DD" w:rsidRDefault="003C3E10">
      <w:pPr>
        <w:rPr>
          <w:sz w:val="18"/>
          <w:szCs w:val="18"/>
        </w:rPr>
      </w:pPr>
    </w:p>
    <w:sectPr w:rsidR="003C3E10" w:rsidRPr="000348DD">
      <w:pgSz w:w="12240" w:h="15840"/>
      <w:pgMar w:top="1081" w:right="1440" w:bottom="13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DF9"/>
    <w:multiLevelType w:val="hybridMultilevel"/>
    <w:tmpl w:val="C50ABEE6"/>
    <w:lvl w:ilvl="0" w:tplc="FD80BA5A">
      <w:start w:val="1"/>
      <w:numFmt w:val="bullet"/>
      <w:lvlText w:val="•"/>
      <w:lvlJc w:val="left"/>
      <w:pPr>
        <w:ind w:left="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C5F4D2B4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C1C41F5E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DA2C7F42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9AA9D54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D58EDB0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3108855A">
      <w:start w:val="1"/>
      <w:numFmt w:val="bullet"/>
      <w:lvlText w:val="•"/>
      <w:lvlJc w:val="left"/>
      <w:pPr>
        <w:ind w:left="69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FE808D8">
      <w:start w:val="1"/>
      <w:numFmt w:val="bullet"/>
      <w:lvlText w:val="o"/>
      <w:lvlJc w:val="left"/>
      <w:pPr>
        <w:ind w:left="76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CBE4613C">
      <w:start w:val="1"/>
      <w:numFmt w:val="bullet"/>
      <w:lvlText w:val="▪"/>
      <w:lvlJc w:val="left"/>
      <w:pPr>
        <w:ind w:left="83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17442"/>
    <w:multiLevelType w:val="hybridMultilevel"/>
    <w:tmpl w:val="BD6A0D12"/>
    <w:lvl w:ilvl="0" w:tplc="E76216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340A81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F33AA5B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F68C10FA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E32663A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FB8077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B207A28">
      <w:start w:val="1"/>
      <w:numFmt w:val="bullet"/>
      <w:lvlText w:val="•"/>
      <w:lvlJc w:val="left"/>
      <w:pPr>
        <w:ind w:left="6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E2B4D954">
      <w:start w:val="1"/>
      <w:numFmt w:val="bullet"/>
      <w:lvlText w:val="o"/>
      <w:lvlJc w:val="left"/>
      <w:pPr>
        <w:ind w:left="7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29949F84">
      <w:start w:val="1"/>
      <w:numFmt w:val="bullet"/>
      <w:lvlText w:val="▪"/>
      <w:lvlJc w:val="left"/>
      <w:pPr>
        <w:ind w:left="83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8048E1"/>
    <w:multiLevelType w:val="hybridMultilevel"/>
    <w:tmpl w:val="27DC99F4"/>
    <w:lvl w:ilvl="0" w:tplc="D0723AAC">
      <w:start w:val="1"/>
      <w:numFmt w:val="bullet"/>
      <w:lvlText w:val="•"/>
      <w:lvlJc w:val="left"/>
      <w:pPr>
        <w:ind w:left="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90C5D8A">
      <w:start w:val="1"/>
      <w:numFmt w:val="bullet"/>
      <w:lvlText w:val="o"/>
      <w:lvlJc w:val="left"/>
      <w:pPr>
        <w:ind w:left="4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168027E">
      <w:start w:val="1"/>
      <w:numFmt w:val="bullet"/>
      <w:lvlText w:val="▪"/>
      <w:lvlJc w:val="left"/>
      <w:pPr>
        <w:ind w:left="4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09648D60">
      <w:start w:val="1"/>
      <w:numFmt w:val="bullet"/>
      <w:lvlText w:val="•"/>
      <w:lvlJc w:val="left"/>
      <w:pPr>
        <w:ind w:left="5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242C0784">
      <w:start w:val="1"/>
      <w:numFmt w:val="bullet"/>
      <w:lvlText w:val="o"/>
      <w:lvlJc w:val="left"/>
      <w:pPr>
        <w:ind w:left="6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A28661DE">
      <w:start w:val="1"/>
      <w:numFmt w:val="bullet"/>
      <w:lvlText w:val="▪"/>
      <w:lvlJc w:val="left"/>
      <w:pPr>
        <w:ind w:left="7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D96ACAE">
      <w:start w:val="1"/>
      <w:numFmt w:val="bullet"/>
      <w:lvlText w:val="•"/>
      <w:lvlJc w:val="left"/>
      <w:pPr>
        <w:ind w:left="7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0F963C28">
      <w:start w:val="1"/>
      <w:numFmt w:val="bullet"/>
      <w:lvlText w:val="o"/>
      <w:lvlJc w:val="left"/>
      <w:pPr>
        <w:ind w:left="8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58B0A918">
      <w:start w:val="1"/>
      <w:numFmt w:val="bullet"/>
      <w:lvlText w:val="▪"/>
      <w:lvlJc w:val="left"/>
      <w:pPr>
        <w:ind w:left="9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5B1674"/>
    <w:multiLevelType w:val="hybridMultilevel"/>
    <w:tmpl w:val="3C8422DA"/>
    <w:lvl w:ilvl="0" w:tplc="7352A22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7402A9A">
      <w:start w:val="1"/>
      <w:numFmt w:val="bullet"/>
      <w:lvlText w:val="o"/>
      <w:lvlJc w:val="left"/>
      <w:pPr>
        <w:ind w:left="38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870F2BA">
      <w:start w:val="1"/>
      <w:numFmt w:val="bullet"/>
      <w:lvlText w:val="▪"/>
      <w:lvlJc w:val="left"/>
      <w:pPr>
        <w:ind w:left="45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7F9883B8">
      <w:start w:val="1"/>
      <w:numFmt w:val="bullet"/>
      <w:lvlText w:val="•"/>
      <w:lvlJc w:val="left"/>
      <w:pPr>
        <w:ind w:left="53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BA724FB6">
      <w:start w:val="1"/>
      <w:numFmt w:val="bullet"/>
      <w:lvlText w:val="o"/>
      <w:lvlJc w:val="left"/>
      <w:pPr>
        <w:ind w:left="60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54C09E26">
      <w:start w:val="1"/>
      <w:numFmt w:val="bullet"/>
      <w:lvlText w:val="▪"/>
      <w:lvlJc w:val="left"/>
      <w:pPr>
        <w:ind w:left="67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B75E1A26">
      <w:start w:val="1"/>
      <w:numFmt w:val="bullet"/>
      <w:lvlText w:val="•"/>
      <w:lvlJc w:val="left"/>
      <w:pPr>
        <w:ind w:left="74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986A884">
      <w:start w:val="1"/>
      <w:numFmt w:val="bullet"/>
      <w:lvlText w:val="o"/>
      <w:lvlJc w:val="left"/>
      <w:pPr>
        <w:ind w:left="8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41CC7E32">
      <w:start w:val="1"/>
      <w:numFmt w:val="bullet"/>
      <w:lvlText w:val="▪"/>
      <w:lvlJc w:val="left"/>
      <w:pPr>
        <w:ind w:left="8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0651D"/>
    <w:multiLevelType w:val="multilevel"/>
    <w:tmpl w:val="BCC0B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82"/>
    <w:rsid w:val="00000586"/>
    <w:rsid w:val="000348DD"/>
    <w:rsid w:val="000C2206"/>
    <w:rsid w:val="001468D3"/>
    <w:rsid w:val="00164494"/>
    <w:rsid w:val="003C3E10"/>
    <w:rsid w:val="00494AE3"/>
    <w:rsid w:val="0054662B"/>
    <w:rsid w:val="00666682"/>
    <w:rsid w:val="007127A7"/>
    <w:rsid w:val="00745F9A"/>
    <w:rsid w:val="008F132C"/>
    <w:rsid w:val="009F3FDA"/>
    <w:rsid w:val="00A83BD2"/>
    <w:rsid w:val="00C713C1"/>
    <w:rsid w:val="00F4756A"/>
    <w:rsid w:val="00F77FC5"/>
    <w:rsid w:val="00FB0D28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5B90A-CE14-4A6F-9778-265DE23E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94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iz.asbu.edu.tr/sites/koordinatorlukler/eob.asbu.edu.tr/files/inline-files/Eri%C5%9Fkinler%20%C4%B0%C3%A7in%20Engellilik%20De%C4%9Ferlendirmesi%20Hakk%C4%B1nda%20Y%C3%B6netmelik_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migazete.gov.tr/eskiler/2013/07/20130720-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iz.asbu.edu.tr/sites/koordinatorlukler/eob.asbu.edu.tr/files/inline-files/%C3%87ocuklar%20%C4%B0%C3%A7in%20%C3%96zel%20Gereksinim%20De%C4%9Ferlendirmesi%20Hakk%C4%B1nda%20Y%C3%B6netmelik_0.doc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mevzuat.gov.tr/mevzuat?MevzuatNo=14214&amp;MevzuatTur=7&amp;MevzuatTertip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iz.asbu.edu.tr/sites/koordinatorlukler/eob.asbu.edu.tr/files/inline-files/y%C3%B6k%20Engelli%20Bireylere%20Y%C3%B6nelik%20S%C4%B1nav%20Uygulamalar%C4%B1nda%20ve%20Engelli%20Kontenjan%C4%B1nda%20Aranacak%20Sa%C4%9Fl%C4%B1k%20%C5%9Eartlar%C4%B1na%20Dair%20Y%C3%B6netmelik_0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JAFARNEZHAD</dc:creator>
  <cp:keywords/>
  <cp:lastModifiedBy>Melahat JAFARNEZHAD</cp:lastModifiedBy>
  <cp:revision>9</cp:revision>
  <dcterms:created xsi:type="dcterms:W3CDTF">2024-07-03T07:16:00Z</dcterms:created>
  <dcterms:modified xsi:type="dcterms:W3CDTF">2024-07-05T07:56:00Z</dcterms:modified>
</cp:coreProperties>
</file>